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E970" w14:textId="77777777" w:rsidR="00867999" w:rsidRPr="00231CCA" w:rsidRDefault="00867999" w:rsidP="00867999">
      <w:pPr>
        <w:spacing w:after="0" w:line="240" w:lineRule="auto"/>
        <w:ind w:left="567"/>
        <w:jc w:val="right"/>
        <w:rPr>
          <w:rFonts w:eastAsia="Times New Roman" w:cs="Times New Roman"/>
          <w:sz w:val="24"/>
          <w:szCs w:val="24"/>
        </w:rPr>
      </w:pPr>
      <w:r w:rsidRPr="00231CCA">
        <w:rPr>
          <w:rFonts w:eastAsia="Times New Roman" w:cs="Times New Roman"/>
          <w:szCs w:val="28"/>
        </w:rPr>
        <w:t> Mẫu số 03.TACN</w:t>
      </w:r>
    </w:p>
    <w:p w14:paraId="33FA3E16" w14:textId="77777777" w:rsidR="00867999" w:rsidRPr="00231CCA" w:rsidRDefault="00867999" w:rsidP="00867999">
      <w:pPr>
        <w:spacing w:after="0" w:line="240" w:lineRule="auto"/>
        <w:ind w:left="567"/>
        <w:jc w:val="center"/>
        <w:rPr>
          <w:rFonts w:eastAsia="Times New Roman" w:cs="Times New Roman"/>
          <w:sz w:val="24"/>
          <w:szCs w:val="24"/>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88CFE7E" wp14:editId="340C1864">
                <wp:simplePos x="0" y="0"/>
                <wp:positionH relativeFrom="column">
                  <wp:posOffset>2251710</wp:posOffset>
                </wp:positionH>
                <wp:positionV relativeFrom="paragraph">
                  <wp:posOffset>440055</wp:posOffset>
                </wp:positionV>
                <wp:extent cx="1924050" cy="0"/>
                <wp:effectExtent l="7620" t="5715" r="11430" b="1333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3FD10" id="_x0000_t32" coordsize="21600,21600" o:spt="32" o:oned="t" path="m,l21600,21600e" filled="f">
                <v:path arrowok="t" fillok="f" o:connecttype="none"/>
                <o:lock v:ext="edit" shapetype="t"/>
              </v:shapetype>
              <v:shape id="AutoShape 28" o:spid="_x0000_s1026" type="#_x0000_t32" style="position:absolute;margin-left:177.3pt;margin-top:34.6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Y5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Mk&#10;SQ87ejo4FUqjdOEHNGibQ1wpd8a3SE/yVT8r+t0iqcqWyIaH6LezhuTEZ0TvUvzFaiizH74oBjEE&#10;CoRpnWrTe0iYAzqFpZxvS+Enhyh8TJZpFs9g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"/>
            </w:pict>
          </mc:Fallback>
        </mc:AlternateContent>
      </w:r>
      <w:r w:rsidRPr="00231CCA">
        <w:rPr>
          <w:rFonts w:eastAsia="Times New Roman" w:cs="Times New Roman"/>
          <w:b/>
          <w:bCs/>
          <w:szCs w:val="28"/>
        </w:rPr>
        <w:t>CỘNG HÒA XÃ HỘI CHỦ NGHĨA VIỆT NAM</w:t>
      </w:r>
      <w:r w:rsidRPr="00231CCA">
        <w:rPr>
          <w:rFonts w:eastAsia="Times New Roman" w:cs="Times New Roman"/>
          <w:szCs w:val="28"/>
        </w:rPr>
        <w:br/>
      </w:r>
      <w:r w:rsidRPr="00231CCA">
        <w:rPr>
          <w:rFonts w:eastAsia="Times New Roman" w:cs="Times New Roman"/>
          <w:b/>
          <w:szCs w:val="28"/>
        </w:rPr>
        <w:t> Độc lập - Tự do - Hạnh phúc</w:t>
      </w:r>
      <w:r w:rsidRPr="00231CCA">
        <w:rPr>
          <w:rFonts w:eastAsia="Times New Roman" w:cs="Times New Roman"/>
          <w:szCs w:val="28"/>
        </w:rPr>
        <w:t xml:space="preserve"> </w:t>
      </w:r>
      <w:r w:rsidRPr="00231CCA">
        <w:rPr>
          <w:rFonts w:eastAsia="Times New Roman" w:cs="Times New Roman"/>
          <w:szCs w:val="28"/>
        </w:rPr>
        <w:br/>
        <w:t> </w:t>
      </w:r>
    </w:p>
    <w:p w14:paraId="222CA803" w14:textId="77777777" w:rsidR="00867999" w:rsidRPr="00231CCA" w:rsidRDefault="00867999" w:rsidP="00867999">
      <w:pPr>
        <w:spacing w:after="0" w:line="240" w:lineRule="auto"/>
        <w:ind w:left="567"/>
        <w:jc w:val="center"/>
        <w:rPr>
          <w:rFonts w:eastAsia="Times New Roman" w:cs="Times New Roman"/>
          <w:sz w:val="24"/>
          <w:szCs w:val="24"/>
        </w:rPr>
      </w:pPr>
      <w:r w:rsidRPr="00231CCA">
        <w:rPr>
          <w:rFonts w:eastAsia="Times New Roman" w:cs="Times New Roman"/>
          <w:b/>
          <w:bCs/>
          <w:szCs w:val="28"/>
        </w:rPr>
        <w:t>QUY TRÌNH</w:t>
      </w:r>
    </w:p>
    <w:p w14:paraId="263642A6" w14:textId="77777777" w:rsidR="00867999" w:rsidRPr="00231CCA" w:rsidRDefault="00867999" w:rsidP="00867999">
      <w:pPr>
        <w:spacing w:after="0" w:line="240" w:lineRule="auto"/>
        <w:ind w:left="567"/>
        <w:jc w:val="center"/>
        <w:rPr>
          <w:rFonts w:eastAsia="Times New Roman" w:cs="Times New Roman"/>
          <w:sz w:val="24"/>
          <w:szCs w:val="24"/>
        </w:rPr>
      </w:pPr>
      <w:r w:rsidRPr="00231CCA">
        <w:rPr>
          <w:rFonts w:eastAsia="Times New Roman" w:cs="Times New Roman"/>
          <w:b/>
          <w:bCs/>
          <w:szCs w:val="28"/>
        </w:rPr>
        <w:t>Kiểm soát chất lượng của cơ sở sản xuất thức ăn chăn nuôi</w:t>
      </w:r>
    </w:p>
    <w:p w14:paraId="0AA79FB1" w14:textId="77777777" w:rsidR="00867999" w:rsidRPr="00231CCA" w:rsidRDefault="00867999" w:rsidP="00867999">
      <w:pPr>
        <w:spacing w:after="0" w:line="240" w:lineRule="auto"/>
        <w:ind w:left="567"/>
        <w:jc w:val="center"/>
        <w:rPr>
          <w:rFonts w:eastAsia="Times New Roman" w:cs="Times New Roman"/>
          <w:sz w:val="24"/>
          <w:szCs w:val="24"/>
        </w:rPr>
      </w:pPr>
      <w:r w:rsidRPr="00231CCA">
        <w:rPr>
          <w:rFonts w:eastAsia="Times New Roman" w:cs="Times New Roman"/>
          <w:szCs w:val="28"/>
        </w:rPr>
        <w:t>(Kèm theo đơn đề nghị cấp Giấy chứng nhận đủ điều kiện</w:t>
      </w:r>
    </w:p>
    <w:p w14:paraId="5BA6046B" w14:textId="77777777" w:rsidR="00867999" w:rsidRPr="00231CCA" w:rsidRDefault="00867999" w:rsidP="00867999">
      <w:pPr>
        <w:spacing w:after="0" w:line="240" w:lineRule="auto"/>
        <w:ind w:left="567"/>
        <w:jc w:val="center"/>
        <w:rPr>
          <w:rFonts w:eastAsia="Times New Roman" w:cs="Times New Roman"/>
          <w:sz w:val="24"/>
          <w:szCs w:val="24"/>
        </w:rPr>
      </w:pPr>
      <w:r w:rsidRPr="00231CCA">
        <w:rPr>
          <w:rFonts w:eastAsia="Times New Roman" w:cs="Times New Roman"/>
          <w:szCs w:val="28"/>
        </w:rPr>
        <w:t>sản xuất thức ăn chăn nuôi số …… ngày ... tháng … năm ...)</w:t>
      </w:r>
    </w:p>
    <w:p w14:paraId="0B0462C7" w14:textId="77777777" w:rsidR="00867999" w:rsidRPr="00231CCA" w:rsidRDefault="00867999" w:rsidP="00867999">
      <w:pPr>
        <w:spacing w:after="0" w:line="240" w:lineRule="auto"/>
        <w:ind w:left="567"/>
        <w:rPr>
          <w:rFonts w:eastAsia="Times New Roman" w:cs="Times New Roman"/>
          <w:sz w:val="24"/>
          <w:szCs w:val="24"/>
        </w:rPr>
      </w:pPr>
      <w:r>
        <w:rPr>
          <w:rFonts w:ascii="Calibri" w:eastAsia="Times New Roman" w:hAnsi="Calibri" w:cs="Times New Roman"/>
          <w:noProof/>
          <w:sz w:val="22"/>
        </w:rPr>
        <mc:AlternateContent>
          <mc:Choice Requires="wps">
            <w:drawing>
              <wp:inline distT="0" distB="0" distL="0" distR="0" wp14:anchorId="4F108E64" wp14:editId="493378E8">
                <wp:extent cx="476250" cy="19050"/>
                <wp:effectExtent l="0" t="0" r="0" b="0"/>
                <wp:docPr id="5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9A36" id="AutoShape 1" o:spid="_x0000_s1026" style="width: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EI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" filled="f" stroked="f">
                <o:lock v:ext="edit" aspectratio="t"/>
                <w10:anchorlock/>
              </v:rect>
            </w:pict>
          </mc:Fallback>
        </mc:AlternateContent>
      </w:r>
      <w:bookmarkStart w:id="0" w:name="_GoBack"/>
      <w:bookmarkEnd w:id="0"/>
    </w:p>
    <w:p w14:paraId="424E20F8"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1. Quy trình kiểm soát chất lượng thức ăn chăn nuôi do cơ sở tự xây dựng, bảo đảm nguyên tắc truy xuất được nguồn gốc nguyên liệu và sản phẩm, bảo đảm chất lượng sản phẩm.</w:t>
      </w:r>
    </w:p>
    <w:p w14:paraId="4A53982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2. Các nội dung của quy trình*:</w:t>
      </w:r>
    </w:p>
    <w:p w14:paraId="04018DCE"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a) Kiểm soát chất lượng nước phục vụ sản xuất (đối với trường hợp có sử dụng nước trong quá trình sản xuất thức ăn chăn nuôi):</w:t>
      </w:r>
    </w:p>
    <w:p w14:paraId="4AA9C5B1"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Xây dựng yêu cầu kỹ thuật chất lượng nước phục vụ sản xuất, phù hợp với tiêu chuẩn kỹ thuật, quy chuẩn kỹ thuật quốc gia tương ứng (nếu có).</w:t>
      </w:r>
    </w:p>
    <w:p w14:paraId="6E11F76E"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kế hoạch đánh giá chất lượng nước và có biện pháp khắc phục xử lý nếu không đạt chất lượng.</w:t>
      </w:r>
    </w:p>
    <w:p w14:paraId="424E38E3"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 hoặc người chịu trách nhiệm.</w:t>
      </w:r>
    </w:p>
    <w:p w14:paraId="4DE9351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b) Kiểm soát nguyên liệu đầu vào:</w:t>
      </w:r>
    </w:p>
    <w:p w14:paraId="06A72215"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Xây dựng yêu cầu kỹ thuật cho từng loại nguyên liệu trước khi nhập kho, trước khi sản xuất.</w:t>
      </w:r>
    </w:p>
    <w:p w14:paraId="54D327DD"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đánh giá năng lực nhà cung cấp nguyên liệu để có biện pháp kiểm soát chất lượng nguyên liệu phù hợp.</w:t>
      </w:r>
    </w:p>
    <w:p w14:paraId="43AD37E1"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14:paraId="67459079"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Xây dựng kế hoạch lấy mẫu thử nghiệm các chỉ tiêu chất lượng, an toàn dựa trên đánh giá nguy cơ.</w:t>
      </w:r>
    </w:p>
    <w:p w14:paraId="72C454B6"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bảo quản nguyên liệu, kế hoạch giám sát chất lượng nguyên liệu trong quá trình bảo quản.</w:t>
      </w:r>
    </w:p>
    <w:p w14:paraId="70F2B364"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xử lý nguyên liệu không đạt chất lượng và an toàn.</w:t>
      </w:r>
    </w:p>
    <w:p w14:paraId="29D8E51C"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00DA3EAA"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c) Kiểm soát bao bì, vật dụng chứa nguyên liệu và thành phẩm:</w:t>
      </w:r>
    </w:p>
    <w:p w14:paraId="4FA2AAEA"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Xây dựng yêu cầu kỹ thuật đối với bao bì, vật dụng chứa nguyên liệu, thành phẩm để bảo đảm không ảnh hưởng đến chất lượng thức ăn chăn nuôi.</w:t>
      </w:r>
    </w:p>
    <w:p w14:paraId="2E83C4D4"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kiểm soát chất lượng bao bì, vật dụng.</w:t>
      </w:r>
    </w:p>
    <w:p w14:paraId="1022B496"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1E76A17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d) Kiểm soát quá trình sản xuất và thành phẩm:</w:t>
      </w:r>
    </w:p>
    <w:p w14:paraId="481DADF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lastRenderedPageBreak/>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w:t>
      </w:r>
    </w:p>
    <w:p w14:paraId="35A8DFF6"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Kế hoạch lấy mẫu thành phẩm để đánh giá chất lượng và an toàn (có tài liệu chứng minh kế hoạch lấy mẫu dựa trên nguyên tắc đánh giá nguy cơ rủi ro).</w:t>
      </w:r>
    </w:p>
    <w:p w14:paraId="2AA4AF6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bảo quản thành phẩm, ghi nhãn.</w:t>
      </w:r>
    </w:p>
    <w:p w14:paraId="0AEA678D"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xử lý các thức ăn thành phẩm không đạt chất lượng và an toàn.</w:t>
      </w:r>
    </w:p>
    <w:p w14:paraId="5D93513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biện pháp khắc phục khi phát hiện không thực hiện đúng nội dung này.</w:t>
      </w:r>
    </w:p>
    <w:p w14:paraId="77A0296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566281D5"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đ) Kiểm soát tái chế:</w:t>
      </w:r>
    </w:p>
    <w:p w14:paraId="1C1BA19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các trường hợp phải tái chế.</w:t>
      </w:r>
    </w:p>
    <w:p w14:paraId="6B14110C"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Phương pháp tái chế.</w:t>
      </w:r>
    </w:p>
    <w:p w14:paraId="7BDEF3B7"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Mục đích tái chế, nhật ký tái chế, thử nghiệm sau tái chế.</w:t>
      </w:r>
    </w:p>
    <w:p w14:paraId="3338A526"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xử lý nếu kết quả tái chế không phù hợp.</w:t>
      </w:r>
    </w:p>
    <w:p w14:paraId="1F246B6A"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5339755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e) Kiểm soát mẫu lưu và lưu mẫu:</w:t>
      </w:r>
    </w:p>
    <w:p w14:paraId="5E581892"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Phương pháp lấy mẫu cho từng loại thức ăn (vị trí lấy mẫu, khối lượng mẫu, thời gian lưu mẫu, người lấy mẫu, cách lấy mẫu....).</w:t>
      </w:r>
    </w:p>
    <w:p w14:paraId="74B3842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về ghi thông tin để nhận biết và truy xuất nguồn gốc mẫu.</w:t>
      </w:r>
    </w:p>
    <w:p w14:paraId="25E2F58A"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thời gian lưu mẫu và biện pháp xử lý mẫu sau khi hết thời hạn lưu mẫu.</w:t>
      </w:r>
    </w:p>
    <w:p w14:paraId="0EF2695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04C080B5"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g) Kiểm định, hiệu chuẩn, hiệu chỉnh thiết bị:</w:t>
      </w:r>
    </w:p>
    <w:p w14:paraId="68165F84"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Liệt kê (hoặc lập bảng) các loại dụng cụ, thiết bị phải hiệu chuẩn, kiểm định.</w:t>
      </w:r>
    </w:p>
    <w:p w14:paraId="3D5B3AE5"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Kế hoạch hiệu chuẩn, hiệu chỉnh định kỳ.</w:t>
      </w:r>
    </w:p>
    <w:p w14:paraId="6FEF4B44"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nhận diện trạng thái cho các thiết bị đo lường (Ví dụ dán tem nhãn hiệu chuẩn, kiểm định), trường hợp thiết bị không bảo đảm kỹ thuật thì phải có dấu hiệu nhận biết.</w:t>
      </w:r>
    </w:p>
    <w:p w14:paraId="4A275502"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61F4F761"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h) Kiểm soát động vật gây hại:</w:t>
      </w:r>
    </w:p>
    <w:p w14:paraId="0DC33349"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Trường hợp tự kiểm soát: Xây dựng phương pháp kiểm soát, tần suất kiểm soát động vật gây hại và ghi nhật ký.</w:t>
      </w:r>
    </w:p>
    <w:p w14:paraId="14933257"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Trường hợp có sử dụng các đơn vị bên ngoài phải được thể hiện trong quy trình.</w:t>
      </w:r>
    </w:p>
    <w:p w14:paraId="6DFEFDA2"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6A551B5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i) Kiểm soát vệ sinh nhà xưởng, trang thiết bị, dụng cụ:</w:t>
      </w:r>
    </w:p>
    <w:p w14:paraId="5E07FE86"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lastRenderedPageBreak/>
        <w:t>- Quy định tần suất kiểm soát vệ sinh nhà xưởng, trang thiết bị, hóa chất sử dụng để vệ sinh (nếu có), ghi nhật ký.</w:t>
      </w:r>
    </w:p>
    <w:p w14:paraId="73BC53E9"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1AEC0DCE"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k) Kiểm soát thu gom và xử lý chất thải:</w:t>
      </w:r>
    </w:p>
    <w:p w14:paraId="6CDA4A8F"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khu vực thu gom rác.</w:t>
      </w:r>
    </w:p>
    <w:p w14:paraId="0D6B4F08"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tần suất di chuyển rác ra khỏi khu vực sản xuất, kho về khu tập kết.</w:t>
      </w:r>
    </w:p>
    <w:p w14:paraId="68C39BC7"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Trường hợp thuê cơ sở xử lý chất thải thì cơ sở đó phải bảo đảm năng lực theo yêu cầu của pháp luật.</w:t>
      </w:r>
    </w:p>
    <w:p w14:paraId="333C1223"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22909153"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l) Kiểm soát nhiễm chéo kháng sinh đối với cơ sở sản xuất thức ăn chăn nuôi có kháng sinh:</w:t>
      </w:r>
    </w:p>
    <w:p w14:paraId="1F23D101"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quy trình làm sạch thiết bị, dây chuyền sản xuất để tránh phát tán, nhiễm chéo kháng sinh giữa các lô sản xuất.</w:t>
      </w:r>
    </w:p>
    <w:p w14:paraId="3C15E184"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về kiểm soát hàm lượng kháng sinh trong sản phẩm phù hợp với hàm lượng được kê đơn thuốc thú y của người kê đơn.</w:t>
      </w:r>
    </w:p>
    <w:p w14:paraId="2E7949BD"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về biện pháp khắc phục, xử lý khi phát hiện trường hợp không phù hợp.</w:t>
      </w:r>
    </w:p>
    <w:p w14:paraId="7E0EA7C1"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p w14:paraId="13469DFD"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m) Kiểm soát người ngoài ra, vào và khách thăm quan cơ sở sản xuất.</w:t>
      </w:r>
    </w:p>
    <w:p w14:paraId="1727A497"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ghi thông tin người ngoài ra, vào và khách thăm cơ sở sản xuất.</w:t>
      </w:r>
    </w:p>
    <w:p w14:paraId="66E1F8BD"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hướng dẫn khách khi thăm quan khu vực sản xuất bảo đảm an toàn lao động và không ảnh hưởng đến quá trình sản xuất.</w:t>
      </w:r>
    </w:p>
    <w:p w14:paraId="06105A3B" w14:textId="77777777" w:rsidR="00867999" w:rsidRPr="00231CCA" w:rsidRDefault="00867999" w:rsidP="00867999">
      <w:pPr>
        <w:spacing w:after="0" w:line="240" w:lineRule="auto"/>
        <w:ind w:firstLine="567"/>
        <w:jc w:val="both"/>
        <w:rPr>
          <w:rFonts w:eastAsia="Times New Roman" w:cs="Times New Roman"/>
          <w:sz w:val="24"/>
          <w:szCs w:val="24"/>
        </w:rPr>
      </w:pPr>
      <w:r w:rsidRPr="00231CCA">
        <w:rPr>
          <w:rFonts w:eastAsia="Times New Roman" w:cs="Times New Roman"/>
          <w:szCs w:val="28"/>
        </w:rPr>
        <w:t>- Quy định bộ phận/người chịu trách nhiệm.</w:t>
      </w:r>
    </w:p>
    <w:tbl>
      <w:tblPr>
        <w:tblW w:w="0" w:type="auto"/>
        <w:tblCellSpacing w:w="0" w:type="dxa"/>
        <w:tblCellMar>
          <w:left w:w="0" w:type="dxa"/>
          <w:right w:w="0" w:type="dxa"/>
        </w:tblCellMar>
        <w:tblLook w:val="04A0" w:firstRow="1" w:lastRow="0" w:firstColumn="1" w:lastColumn="0" w:noHBand="0" w:noVBand="1"/>
      </w:tblPr>
      <w:tblGrid>
        <w:gridCol w:w="4618"/>
        <w:gridCol w:w="4624"/>
      </w:tblGrid>
      <w:tr w:rsidR="00867999" w:rsidRPr="00231CCA" w14:paraId="5BF56CE7" w14:textId="77777777" w:rsidTr="00C720B1">
        <w:trPr>
          <w:trHeight w:val="285"/>
          <w:tblCellSpacing w:w="0" w:type="dxa"/>
        </w:trPr>
        <w:tc>
          <w:tcPr>
            <w:tcW w:w="4618" w:type="dxa"/>
            <w:tcBorders>
              <w:top w:val="nil"/>
              <w:left w:val="nil"/>
              <w:bottom w:val="nil"/>
              <w:right w:val="nil"/>
            </w:tcBorders>
            <w:tcMar>
              <w:top w:w="0" w:type="dxa"/>
              <w:left w:w="108" w:type="dxa"/>
              <w:bottom w:w="0" w:type="dxa"/>
              <w:right w:w="108" w:type="dxa"/>
            </w:tcMar>
            <w:vAlign w:val="center"/>
            <w:hideMark/>
          </w:tcPr>
          <w:p w14:paraId="3C624EAB" w14:textId="77777777" w:rsidR="00867999" w:rsidRPr="00231CCA" w:rsidRDefault="00867999" w:rsidP="00C720B1">
            <w:pPr>
              <w:spacing w:after="0" w:line="240" w:lineRule="auto"/>
              <w:ind w:left="567"/>
              <w:rPr>
                <w:rFonts w:eastAsia="Times New Roman" w:cs="Times New Roman"/>
                <w:sz w:val="24"/>
                <w:szCs w:val="24"/>
              </w:rPr>
            </w:pPr>
            <w:r w:rsidRPr="00231CCA">
              <w:rPr>
                <w:rFonts w:eastAsia="Times New Roman" w:cs="Times New Roman"/>
                <w:szCs w:val="28"/>
              </w:rPr>
              <w:t>  </w:t>
            </w:r>
          </w:p>
        </w:tc>
        <w:tc>
          <w:tcPr>
            <w:tcW w:w="4624" w:type="dxa"/>
            <w:tcBorders>
              <w:top w:val="nil"/>
              <w:left w:val="nil"/>
              <w:bottom w:val="nil"/>
              <w:right w:val="nil"/>
            </w:tcBorders>
            <w:tcMar>
              <w:top w:w="0" w:type="dxa"/>
              <w:left w:w="108" w:type="dxa"/>
              <w:bottom w:w="0" w:type="dxa"/>
              <w:right w:w="108" w:type="dxa"/>
            </w:tcMar>
            <w:vAlign w:val="center"/>
            <w:hideMark/>
          </w:tcPr>
          <w:p w14:paraId="2270C9AB" w14:textId="77777777" w:rsidR="00867999" w:rsidRPr="00231CCA" w:rsidRDefault="00867999" w:rsidP="00C720B1">
            <w:pPr>
              <w:spacing w:after="0" w:line="240" w:lineRule="auto"/>
              <w:ind w:left="567"/>
              <w:rPr>
                <w:rFonts w:eastAsia="Times New Roman" w:cs="Times New Roman"/>
                <w:sz w:val="24"/>
                <w:szCs w:val="24"/>
              </w:rPr>
            </w:pPr>
            <w:r w:rsidRPr="00231CCA">
              <w:rPr>
                <w:rFonts w:eastAsia="Times New Roman" w:cs="Times New Roman"/>
                <w:szCs w:val="28"/>
              </w:rPr>
              <w:t>……, ngày …. tháng….. năm ….</w:t>
            </w:r>
            <w:r w:rsidRPr="00231CCA">
              <w:rPr>
                <w:rFonts w:eastAsia="Times New Roman" w:cs="Times New Roman"/>
                <w:szCs w:val="28"/>
              </w:rPr>
              <w:br/>
              <w:t> ĐẠI DIỆN CƠ SỞ</w:t>
            </w:r>
            <w:r w:rsidRPr="00231CCA">
              <w:rPr>
                <w:rFonts w:eastAsia="Times New Roman" w:cs="Times New Roman"/>
                <w:szCs w:val="28"/>
              </w:rPr>
              <w:br/>
              <w:t> (Ký tên, đóng dấu)</w:t>
            </w:r>
          </w:p>
        </w:tc>
      </w:tr>
    </w:tbl>
    <w:p w14:paraId="715FB434" w14:textId="77777777" w:rsidR="00867999" w:rsidRPr="00231CCA" w:rsidRDefault="00867999" w:rsidP="00867999">
      <w:pPr>
        <w:spacing w:line="240" w:lineRule="auto"/>
        <w:ind w:left="567"/>
        <w:jc w:val="right"/>
        <w:rPr>
          <w:rFonts w:eastAsia="Times New Roman" w:cs="Times New Roman"/>
          <w:sz w:val="24"/>
          <w:szCs w:val="24"/>
        </w:rPr>
      </w:pPr>
      <w:r w:rsidRPr="00231CCA">
        <w:rPr>
          <w:rFonts w:eastAsia="Times New Roman" w:cs="Times New Roman"/>
          <w:sz w:val="24"/>
          <w:szCs w:val="24"/>
        </w:rPr>
        <w:t> </w:t>
      </w:r>
    </w:p>
    <w:p w14:paraId="7F912A5E" w14:textId="77777777" w:rsidR="00867999" w:rsidRPr="00231CCA" w:rsidRDefault="00867999" w:rsidP="00867999">
      <w:pPr>
        <w:spacing w:line="240" w:lineRule="auto"/>
        <w:ind w:left="567"/>
        <w:jc w:val="right"/>
        <w:rPr>
          <w:rFonts w:eastAsia="Times New Roman" w:cs="Times New Roman"/>
          <w:sz w:val="24"/>
          <w:szCs w:val="24"/>
        </w:rPr>
      </w:pPr>
      <w:r w:rsidRPr="00231CCA">
        <w:rPr>
          <w:rFonts w:eastAsia="Times New Roman" w:cs="Times New Roman"/>
          <w:sz w:val="24"/>
          <w:szCs w:val="24"/>
        </w:rPr>
        <w:t> </w:t>
      </w:r>
    </w:p>
    <w:p w14:paraId="7F136589" w14:textId="77777777" w:rsidR="00867999" w:rsidRPr="00231CCA" w:rsidRDefault="00867999" w:rsidP="00867999">
      <w:pPr>
        <w:spacing w:line="240" w:lineRule="auto"/>
        <w:ind w:left="567"/>
        <w:jc w:val="right"/>
        <w:rPr>
          <w:rFonts w:eastAsia="Times New Roman" w:cs="Times New Roman"/>
          <w:sz w:val="24"/>
          <w:szCs w:val="24"/>
        </w:rPr>
      </w:pPr>
      <w:r w:rsidRPr="00231CCA">
        <w:rPr>
          <w:rFonts w:eastAsia="Times New Roman" w:cs="Times New Roman"/>
          <w:sz w:val="24"/>
          <w:szCs w:val="24"/>
        </w:rPr>
        <w:t> </w:t>
      </w:r>
    </w:p>
    <w:p w14:paraId="262B2FAF" w14:textId="77777777" w:rsidR="00867999" w:rsidRPr="00231CCA" w:rsidRDefault="00867999" w:rsidP="00867999">
      <w:pPr>
        <w:spacing w:line="240" w:lineRule="auto"/>
        <w:ind w:left="567"/>
        <w:jc w:val="right"/>
        <w:rPr>
          <w:rFonts w:eastAsia="Times New Roman" w:cs="Times New Roman"/>
          <w:sz w:val="24"/>
          <w:szCs w:val="24"/>
        </w:rPr>
      </w:pPr>
      <w:r w:rsidRPr="00231CCA">
        <w:rPr>
          <w:rFonts w:eastAsia="Times New Roman" w:cs="Times New Roman"/>
          <w:sz w:val="24"/>
          <w:szCs w:val="24"/>
        </w:rPr>
        <w:t> </w:t>
      </w:r>
    </w:p>
    <w:p w14:paraId="61D10A3D" w14:textId="77777777" w:rsidR="00867999" w:rsidRPr="00231CCA" w:rsidRDefault="00867999" w:rsidP="00867999">
      <w:pPr>
        <w:spacing w:line="240" w:lineRule="auto"/>
        <w:ind w:left="567"/>
        <w:jc w:val="center"/>
        <w:rPr>
          <w:rFonts w:eastAsia="Times New Roman" w:cs="Times New Roman"/>
          <w:sz w:val="24"/>
          <w:szCs w:val="24"/>
        </w:rPr>
      </w:pPr>
      <w:r w:rsidRPr="00231CCA">
        <w:rPr>
          <w:rFonts w:eastAsia="Times New Roman" w:cs="Times New Roman"/>
          <w:sz w:val="24"/>
          <w:szCs w:val="24"/>
        </w:rPr>
        <w:t> </w:t>
      </w:r>
    </w:p>
    <w:p w14:paraId="2B82B2CF" w14:textId="77777777" w:rsidR="00867999" w:rsidRPr="00231CCA" w:rsidRDefault="00867999" w:rsidP="00867999">
      <w:pPr>
        <w:spacing w:before="120" w:after="120" w:line="240" w:lineRule="auto"/>
        <w:jc w:val="both"/>
        <w:rPr>
          <w:rFonts w:eastAsia="Times New Roman" w:cs="Times New Roman"/>
          <w:sz w:val="24"/>
          <w:szCs w:val="24"/>
        </w:rPr>
      </w:pPr>
      <w:r w:rsidRPr="00231CCA">
        <w:rPr>
          <w:rFonts w:eastAsia="Times New Roman" w:cs="Times New Roman"/>
          <w:b/>
          <w:bCs/>
          <w:szCs w:val="28"/>
          <w:u w:val="single"/>
        </w:rPr>
        <w:t xml:space="preserve">Ghi chú: </w:t>
      </w:r>
    </w:p>
    <w:p w14:paraId="50127136" w14:textId="77777777" w:rsidR="00867999" w:rsidRPr="00231CCA" w:rsidRDefault="00867999" w:rsidP="00867999">
      <w:pPr>
        <w:spacing w:before="120" w:after="120" w:line="240" w:lineRule="auto"/>
        <w:ind w:firstLine="567"/>
        <w:jc w:val="both"/>
        <w:rPr>
          <w:rFonts w:eastAsia="Times New Roman" w:cs="Times New Roman"/>
          <w:sz w:val="24"/>
          <w:szCs w:val="24"/>
        </w:rPr>
      </w:pPr>
      <w:r w:rsidRPr="00231CCA">
        <w:rPr>
          <w:rFonts w:eastAsia="Times New Roman" w:cs="Times New Roman"/>
          <w:i/>
          <w:iCs/>
          <w:sz w:val="24"/>
          <w:szCs w:val="24"/>
        </w:rPr>
        <w:t>- Quy trình kiểm soát chất lượng này áp dụng đối với cơ sở sản xuất thức ăn chăn nuôi hỗn hợp hoàn chỉnh, thức ăn đậm đặc. Đối với cơ sở sản xuất thức ăn truyền thống thì tùy theo công nghệ sản xuất và bản chất của sản phẩm thức ăn chăn nuôi mà cơ sở có thể giảm bớt các nội dung không liên quan trong quy trình này nhưng phải đảm bảo kiểm soát được chất lượng và an toàn của sản phẩm và truy xuất được nguồn gốc.</w:t>
      </w:r>
    </w:p>
    <w:p w14:paraId="6E8DFF6E" w14:textId="77777777" w:rsidR="00867999" w:rsidRPr="00231CCA" w:rsidRDefault="00867999" w:rsidP="00867999">
      <w:pPr>
        <w:spacing w:before="120" w:after="120" w:line="240" w:lineRule="auto"/>
        <w:ind w:firstLine="567"/>
        <w:jc w:val="both"/>
        <w:rPr>
          <w:rFonts w:eastAsia="Times New Roman" w:cs="Times New Roman"/>
          <w:sz w:val="24"/>
          <w:szCs w:val="24"/>
        </w:rPr>
      </w:pPr>
      <w:r w:rsidRPr="00231CCA">
        <w:rPr>
          <w:rFonts w:eastAsia="Times New Roman" w:cs="Times New Roman"/>
          <w:i/>
          <w:iCs/>
          <w:sz w:val="24"/>
          <w:szCs w:val="24"/>
        </w:rPr>
        <w:lastRenderedPageBreak/>
        <w:t>- Quy trình kiểm soát chất lượng của cơ sở sản xuất thức ăn chăn nuôi phải thể hiện chi tiết các nội dung kiểm soát (hoặc đính kèm các quy trình kiểm soát chất lượng) theo quy định tại Mẫu số 03.TACN .</w:t>
      </w:r>
    </w:p>
    <w:p w14:paraId="2BECA047" w14:textId="77777777" w:rsidR="00E50DFC" w:rsidRPr="00867999" w:rsidRDefault="00E50DFC" w:rsidP="00867999"/>
    <w:sectPr w:rsidR="00E50DFC" w:rsidRPr="0086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91"/>
    <w:rsid w:val="002C264C"/>
    <w:rsid w:val="00867999"/>
    <w:rsid w:val="00CD7B91"/>
    <w:rsid w:val="00E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3342-A347-46C7-A917-0A763550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999"/>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2023-01-12T09:55:00Z</dcterms:created>
  <dcterms:modified xsi:type="dcterms:W3CDTF">2023-01-12T09:55:00Z</dcterms:modified>
</cp:coreProperties>
</file>